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Indent"/>
        <w:ind w:left="-11" w:right="0" w:firstLine="719"/>
        <w:rPr/>
      </w:pPr>
      <w:r>
        <w:rPr/>
        <w:t xml:space="preserve">Уважаемый Клиент! Перед началом пользования системой расчетов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Вы должны в полном объеме ознакомится с настоящими условиями и порядком оплаты  услуг и товаров с помощью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. </w:t>
      </w:r>
    </w:p>
    <w:p>
      <w:pPr>
        <w:pStyle w:val="TextBodyIndent"/>
        <w:ind w:left="-11" w:right="0" w:firstLine="719"/>
        <w:rPr/>
      </w:pPr>
      <w:r>
        <w:rPr/>
        <w:t xml:space="preserve">Настоящее соглашение является Вашим прямым,  непосредственным, безотзывным и юридически достоверным акцептом оферты от </w:t>
      </w:r>
      <w:r>
        <w:rPr>
          <w:b/>
        </w:rPr>
        <w:t>Business Paper Production LTD</w:t>
      </w:r>
      <w:r>
        <w:rPr/>
        <w:t>, созданной в соответствии с законами Британских Виргинских островов</w:t>
      </w:r>
      <w:r>
        <w:rPr>
          <w:b/>
        </w:rPr>
        <w:t xml:space="preserve"> </w:t>
      </w:r>
      <w:r>
        <w:rPr/>
        <w:t xml:space="preserve">– по использованию универсального комплекса сервисных услуг, предоставляемых </w:t>
      </w:r>
      <w:r>
        <w:rPr>
          <w:b/>
        </w:rPr>
        <w:t>Системой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в качестве сервиса, обеспечивающего расчеты за используемые Вами услуги и/или приобретаемые товары у поставщиков таких товаров и услуг, заключивших соответствующие договоры с </w:t>
      </w:r>
      <w:r>
        <w:rPr>
          <w:b/>
        </w:rPr>
        <w:t xml:space="preserve">Системы </w:t>
      </w:r>
      <w:r>
        <w:rPr/>
        <w:t>о приеме в качестве оплаты титульных знаков</w:t>
      </w:r>
      <w:r>
        <w:rPr>
          <w:b/>
        </w:rPr>
        <w:t xml:space="preserve"> Системы</w:t>
      </w:r>
      <w:r>
        <w:rPr/>
        <w:t xml:space="preserve">. Совершением Вами указанных в настоящем предложении действий, так же как и активацией Вами электронного приложения Вы гарантируете другой стороне, что обладаете необходимой право и дееспособностью, а равно гарантируете обладание всеми правами и полномочиями необходимыми и достаточными для заключения и исполнения Вами настоящего соглашения в соответствии с его условиями. В случае не обладания Вами в достаточной степени правами и полномочиями достаточными для заключения и исполнения Вами настоящего соглашения, настоящее соглашение с Вами считается недействительным с момента его заключения. Воспользоваться услугами предоставляемыми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возможно только при условии, если Вы принимаете условия настоящего предложения в полном объеме, без каких либо изъятий, ограничений и исключений, путем полного и безоговорочного присоединения к ним и порядку их действия. Свидетельством вашего согласия с настоящими условиями, правилами и присоединения к ним будет являться активация электронного приложения. В этом случае ваши действия расцениваются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как прямые и непосредственные указания к действиям в рамках предложенных Вам сервисов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. Настоящее соглашение считается действующим в отношении всех заинтересованных лиц и приобретает юридическую силу с момента совершения Вами действий предусмотренных в настоящем соглашении. Любые товары и услуги, оплаченные Вами с помощью </w:t>
      </w:r>
      <w:r>
        <w:rPr>
          <w:b/>
        </w:rPr>
        <w:t>Системы</w:t>
      </w:r>
      <w:r>
        <w:rPr/>
        <w:t xml:space="preserve"> предоставляются и поставляются Вам в соответствии с правилами, тарифами и иными оговоренными  условиями, установленными самими Поставщиками товаров/услуг самостоятельно. С условиями, правилами и тарифами вы можете ознакомиться на официальном сайте Поставщика товаров/услуг. В целях полного и однозначного понимания условий действия настоящего соглашения, в отношении Вас действуют все ранее определенные и применимые понятия универсального комплекса услуг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>:</w:t>
      </w:r>
    </w:p>
    <w:p>
      <w:pPr>
        <w:pStyle w:val="Normal"/>
        <w:ind w:left="0" w:right="0" w:firstLine="709"/>
        <w:jc w:val="both"/>
        <w:rPr/>
      </w:pPr>
      <w:r>
        <w:rPr>
          <w:b/>
        </w:rPr>
        <w:t>Система расчётов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(далее – </w:t>
      </w:r>
      <w:r>
        <w:rPr>
          <w:b/>
          <w:lang w:val="en-US"/>
        </w:rPr>
        <w:t>C</w:t>
      </w:r>
      <w:r>
        <w:rPr>
          <w:b/>
        </w:rPr>
        <w:t>истема</w:t>
      </w:r>
      <w:r>
        <w:rPr/>
        <w:t>) – универсальный сервис Обладателя Системы (</w:t>
      </w:r>
      <w:r>
        <w:rPr>
          <w:b/>
        </w:rPr>
        <w:t>Business Paper Production LTD</w:t>
      </w:r>
      <w:r>
        <w:rPr/>
        <w:t>, созданной в соответствии с законами Британских Виргинских островов</w:t>
      </w:r>
      <w:r>
        <w:rPr>
          <w:b/>
        </w:rPr>
        <w:t>)</w:t>
      </w:r>
      <w:r>
        <w:rPr/>
        <w:t>, обеспечивающий расчеты между Клиентами Системы. Под Системой расчетов в техническом отношении подразумевается автоматизированная программная система учета титульных знаков пользователей, принадлежащая и управляемая Обладателем Системы, реализованная в виде электронного Интернет-ресурса, расположенного вне территории Российской Федерации, предоставляющая возможность совершения операций пользователями и клиентами Системы, принятия партнерами Системы входящих платежей и проведения выплат, обеспечивающая сохранность, доступность, конфиденциальность пользования. Обладатель Системы предоставляет Клиентам возможность пользования системой на безвозмездной основе и получать прибыль (напрямую или опосредовано) за счет комиссии от взаимодействия ресурса Принципала с платными Интернет-ресурсами и Поставщиками платных услуг (товары, спутниковое телевидение, связь, Интернет-магазины и прочее).</w:t>
      </w:r>
    </w:p>
    <w:p>
      <w:pPr>
        <w:pStyle w:val="Normal"/>
        <w:ind w:left="0" w:right="0" w:firstLine="709"/>
        <w:jc w:val="both"/>
        <w:rPr/>
      </w:pPr>
      <w:r>
        <w:rPr/>
        <w:t>В Системе для Клиентов доступны следующие сервисы:</w:t>
      </w:r>
    </w:p>
    <w:p>
      <w:pPr>
        <w:pStyle w:val="Normal"/>
        <w:ind w:left="0" w:right="0" w:firstLine="709"/>
        <w:jc w:val="both"/>
        <w:rPr/>
      </w:pPr>
      <w:r>
        <w:rPr/>
        <w:t>Ввод/вывод денежных средств Клиентов в/из Системы производится посредством трансферта титульных знаков Системы «</w:t>
      </w:r>
      <w:r>
        <w:rPr>
          <w:rStyle w:val="Emphasis"/>
          <w:b/>
          <w:bCs/>
          <w:i w:val="false"/>
          <w:lang w:val="en-US"/>
        </w:rPr>
        <w:t>SmartMoney</w:t>
      </w:r>
      <w:r>
        <w:rPr/>
        <w:t>» (электронных денежных единиц).</w:t>
      </w:r>
    </w:p>
    <w:p>
      <w:pPr>
        <w:pStyle w:val="TextBodyIndent"/>
        <w:ind w:left="-11" w:right="0" w:firstLine="719"/>
        <w:rPr/>
      </w:pPr>
      <w:r>
        <w:rPr>
          <w:b/>
        </w:rPr>
        <w:t>Клиент Системы</w:t>
      </w:r>
      <w:r>
        <w:rPr/>
        <w:t xml:space="preserve"> - физическое или юридическое лицо, являющееся конечным пользователем универсального комплекса сервисных услуг предоставляемых Принципалом и/или  приобретающее услуги и /или товары у Партнеров </w:t>
      </w:r>
      <w:r>
        <w:rPr>
          <w:b/>
        </w:rPr>
        <w:t>Системы (поставщиков товаров/услуг)</w:t>
      </w:r>
      <w:r>
        <w:rPr/>
        <w:t xml:space="preserve"> с использованием </w:t>
      </w:r>
      <w:r>
        <w:rPr>
          <w:b/>
        </w:rPr>
        <w:t>Системы</w:t>
      </w:r>
      <w:r>
        <w:rPr/>
        <w:t xml:space="preserve">, зарегистрированный в </w:t>
      </w:r>
      <w:r>
        <w:rPr>
          <w:b/>
        </w:rPr>
        <w:t>Системе расчетов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в установленном порядке. </w:t>
      </w:r>
    </w:p>
    <w:p>
      <w:pPr>
        <w:pStyle w:val="TextBodyIndent"/>
        <w:ind w:left="-11" w:right="0" w:firstLine="719"/>
        <w:rPr>
          <w:lang w:eastAsia="ru-RU"/>
        </w:rPr>
      </w:pPr>
      <w:r>
        <w:rPr>
          <w:b/>
          <w:lang w:eastAsia="ru-RU"/>
        </w:rPr>
        <w:t>Титульный знак Системы</w:t>
      </w:r>
      <w:r>
        <w:rPr>
          <w:b/>
        </w:rPr>
        <w:t xml:space="preserve"> расчётов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(далее </w:t>
      </w:r>
      <w:r>
        <w:rPr>
          <w:b/>
        </w:rPr>
        <w:t>SMU</w:t>
      </w:r>
      <w:r>
        <w:rPr/>
        <w:t xml:space="preserve">) - </w:t>
      </w:r>
      <w:r>
        <w:rPr>
          <w:lang w:eastAsia="ru-RU"/>
        </w:rPr>
        <w:t xml:space="preserve">условная единица, в электронном виде сформированная в записи, соответствующей формату учетной электронной </w:t>
      </w:r>
      <w:r>
        <w:rPr>
          <w:b/>
          <w:lang w:eastAsia="ru-RU"/>
        </w:rPr>
        <w:t>Системы</w:t>
      </w:r>
      <w:r>
        <w:rPr>
          <w:lang w:eastAsia="ru-RU"/>
        </w:rPr>
        <w:t xml:space="preserve">, применяемая для расчетов между Клиентами </w:t>
      </w:r>
      <w:r>
        <w:rPr>
          <w:b/>
          <w:lang w:eastAsia="ru-RU"/>
        </w:rPr>
        <w:t xml:space="preserve">Системы </w:t>
      </w:r>
      <w:r>
        <w:rPr>
          <w:lang w:eastAsia="ru-RU"/>
        </w:rPr>
        <w:t xml:space="preserve">и Поставщиками товаров/услуг. </w:t>
      </w:r>
    </w:p>
    <w:p>
      <w:pPr>
        <w:pStyle w:val="TextBodyIndent"/>
        <w:ind w:left="-11" w:right="0" w:firstLine="719"/>
        <w:rPr/>
      </w:pPr>
      <w:r>
        <w:rPr>
          <w:b/>
        </w:rPr>
        <w:t>Сервис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 - ввод/вывод денежных средств Клиентов в/из </w:t>
      </w:r>
      <w:r>
        <w:rPr>
          <w:b/>
        </w:rPr>
        <w:t>Системы</w:t>
      </w:r>
      <w:r>
        <w:rPr/>
        <w:t xml:space="preserve"> с зачислением/снятием Клиентом титульных знаков </w:t>
      </w:r>
      <w:r>
        <w:rPr>
          <w:b/>
        </w:rPr>
        <w:t>Системы</w:t>
      </w:r>
      <w:r>
        <w:rPr/>
        <w:t xml:space="preserve"> и/или иных учетных электронных единиц Партнеров принимаемых к расчетам с </w:t>
      </w:r>
      <w:r>
        <w:rPr>
          <w:b/>
        </w:rPr>
        <w:t>Системой</w:t>
      </w:r>
      <w:r>
        <w:rPr/>
        <w:t xml:space="preserve">, на/с электронные депозитарные номера Партеров </w:t>
      </w:r>
      <w:r>
        <w:rPr>
          <w:b/>
        </w:rPr>
        <w:t>Системы</w:t>
      </w:r>
      <w:r>
        <w:rPr/>
        <w:t xml:space="preserve">, предоставляющих услуги/товары с использованием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расчетов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. </w:t>
      </w:r>
    </w:p>
    <w:p>
      <w:pPr>
        <w:pStyle w:val="TextBodyIndent"/>
        <w:ind w:left="0" w:right="0" w:firstLine="708"/>
        <w:rPr/>
      </w:pPr>
      <w:r>
        <w:rPr>
          <w:b/>
        </w:rPr>
        <w:t xml:space="preserve">Электронный депозитарный номер </w:t>
      </w:r>
      <w:r>
        <w:rPr/>
        <w:t xml:space="preserve">(далее </w:t>
      </w:r>
      <w:r>
        <w:rPr>
          <w:b/>
        </w:rPr>
        <w:t>ЕDN</w:t>
      </w:r>
      <w:r>
        <w:rPr/>
        <w:t xml:space="preserve">) – персонифицированный электронный учетный номер Клиента в Системе, предназначенный для зачисления, хранения и трансферта по требованию Клиента титульных знаков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в счет оплаты за предоставленные Партнерами </w:t>
      </w:r>
      <w:r>
        <w:rPr>
          <w:b/>
        </w:rPr>
        <w:t>Системы</w:t>
      </w:r>
      <w:r>
        <w:rPr/>
        <w:t xml:space="preserve"> услуги/товары. </w:t>
      </w:r>
    </w:p>
    <w:p>
      <w:pPr>
        <w:pStyle w:val="TextBodyIndent"/>
        <w:ind w:left="-11" w:right="0" w:firstLine="719"/>
        <w:rPr/>
      </w:pPr>
      <w:r>
        <w:rPr>
          <w:b/>
        </w:rPr>
        <w:t>Правила пользования Системой электронной связи –</w:t>
      </w:r>
      <w:r>
        <w:rPr/>
        <w:t xml:space="preserve"> установленный порядок пользования автоматическим программно-аппаратным комплексом (АПАК) обеспечивающий имущественную безопасность; документы и формализованные сообщения, передаваемые по системе электронной связи действительными, достоверными, сертифицированными и равнозначными по юридической силе документам, оформленным в традиционном порядке, а действия, совершенные в системе как действия надлежащих сторон, в двусторонне принятом специальном порядке по правилам электронной подписи.</w:t>
      </w:r>
    </w:p>
    <w:p>
      <w:pPr>
        <w:pStyle w:val="TextBodyIndent"/>
        <w:ind w:left="-11" w:right="0" w:firstLine="719"/>
        <w:rPr/>
      </w:pPr>
      <w:r>
        <w:rPr>
          <w:b/>
        </w:rPr>
        <w:t xml:space="preserve">Депозит </w:t>
      </w:r>
      <w:r>
        <w:rPr/>
        <w:t xml:space="preserve">– способ хранения и учета внутренних учетных единиц </w:t>
      </w:r>
      <w:r>
        <w:rPr>
          <w:b/>
        </w:rPr>
        <w:t>Системы</w:t>
      </w:r>
      <w:r>
        <w:rPr/>
        <w:t xml:space="preserve"> и Партнеров по правилам АПАК, обусловленный вводом денежных средств Клиентом в Систему, </w:t>
      </w:r>
      <w:r>
        <w:rPr>
          <w:lang w:val="en-US"/>
        </w:rPr>
        <w:t>c</w:t>
      </w:r>
      <w:r>
        <w:rPr/>
        <w:t xml:space="preserve"> зачислением их номинала в </w:t>
      </w:r>
      <w:r>
        <w:rPr>
          <w:b/>
          <w:lang w:val="en-US"/>
        </w:rPr>
        <w:t>SMU</w:t>
      </w:r>
      <w:r>
        <w:rPr/>
        <w:t xml:space="preserve"> на персонифицированный Электронный депозитарный номер Клиента. </w:t>
      </w:r>
    </w:p>
    <w:p>
      <w:pPr>
        <w:pStyle w:val="Normal"/>
        <w:ind w:left="0" w:right="0" w:firstLine="708"/>
        <w:jc w:val="both"/>
        <w:rPr/>
      </w:pPr>
      <w:r>
        <w:rPr/>
        <w:t xml:space="preserve">Сервис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 осуществляется посредством трансферта (перевода) внесенных Вами денежных средств в титульные знаки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и осуществления депозитарного хранения настоящих титульных знаков </w:t>
      </w:r>
      <w:r>
        <w:rPr>
          <w:b/>
        </w:rPr>
        <w:t>Системы</w:t>
      </w:r>
      <w:r>
        <w:rPr/>
        <w:t xml:space="preserve"> на Вашем </w:t>
      </w:r>
      <w:r>
        <w:rPr>
          <w:b/>
        </w:rPr>
        <w:t>ЕDN</w:t>
      </w:r>
      <w:r>
        <w:rPr/>
        <w:t xml:space="preserve">, присвоенному Вам в ходе регистрации Вас в качестве Клиента в Системе. Номер </w:t>
      </w:r>
      <w:r>
        <w:rPr>
          <w:b/>
        </w:rPr>
        <w:t>ЕDN</w:t>
      </w:r>
      <w:r>
        <w:rPr/>
        <w:t xml:space="preserve"> служит платежным реквизитом (идентификатором) зарегистрированного в установленном порядке Клиента. Доступ в систему расчетов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, доступ к сайтам Партнеров </w:t>
      </w:r>
      <w:r>
        <w:rPr>
          <w:b/>
        </w:rPr>
        <w:t>Системы (поставщиков товаров/услуг)</w:t>
      </w:r>
      <w:r>
        <w:rPr/>
        <w:t xml:space="preserve">, так же как и депозитарное хранение титульных знаков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на Вашем </w:t>
      </w:r>
      <w:r>
        <w:rPr>
          <w:b/>
        </w:rPr>
        <w:t>ЕDN</w:t>
      </w:r>
      <w:r>
        <w:rPr/>
        <w:t xml:space="preserve"> предоставляется Вам в безвозмездном порядке. Оплата по доступу к сетям передачи данных, осуществляемых в рамках оказываемых услуг по доступу к интернет ресурсам, производится за счет и из средств владельца сервиса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>
          <w:bCs/>
          <w:i/>
          <w:iCs/>
        </w:rPr>
        <w:t xml:space="preserve">. </w:t>
      </w:r>
      <w:r>
        <w:rPr/>
        <w:t xml:space="preserve">Депозитарное хранение </w:t>
      </w:r>
      <w:r>
        <w:rPr>
          <w:b/>
          <w:lang w:val="en-US"/>
        </w:rPr>
        <w:t>SMU</w:t>
      </w:r>
      <w:r>
        <w:rPr/>
        <w:t xml:space="preserve"> предоставляется в безвозмездном порядке Клиенту в течении не более 60 календарных суток, исчисляемых с даты ввода денежных средств в Систему. В случае депозитарного хранения титульных знаков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на Вашем </w:t>
      </w:r>
      <w:r>
        <w:rPr>
          <w:b/>
        </w:rPr>
        <w:t>ЕDN</w:t>
      </w:r>
      <w:r>
        <w:rPr/>
        <w:t xml:space="preserve"> свыше указанного срока из количества титульных знаков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находящихся на депозитарном хранении производится вычет, из расчета один титульный знак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за каждый календарный день депозитарного хранения, свыше указанного срока. В случае нехватки учетных единиц на Вашем </w:t>
      </w:r>
      <w:r>
        <w:rPr>
          <w:b/>
        </w:rPr>
        <w:t>ЕDN</w:t>
      </w:r>
      <w:r>
        <w:rPr/>
        <w:t xml:space="preserve"> для погашения возникшей задолженности АПАК производит аннуляцию Вашей регистрации в Системе с отказом доступа в нее в автоматическом режиме. Активация Вами соответствующих приложений программного обеспечения является и расценивается </w:t>
      </w:r>
      <w:r>
        <w:rPr>
          <w:b/>
        </w:rPr>
        <w:t>Системой</w:t>
      </w:r>
      <w:r>
        <w:rPr/>
        <w:t xml:space="preserve"> и/или </w:t>
      </w:r>
      <w:r>
        <w:rPr>
          <w:b/>
        </w:rPr>
        <w:t>Участниками Системы</w:t>
      </w:r>
      <w:r>
        <w:rPr/>
        <w:t xml:space="preserve"> </w:t>
      </w:r>
      <w:r>
        <w:rPr>
          <w:b/>
        </w:rPr>
        <w:t>расчётов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как непосредственное, прямое и безотзывное императивное распоряжение, отданное Вами к совершению указанных Вами действий. Зачисление </w:t>
      </w:r>
      <w:r>
        <w:rPr>
          <w:b/>
          <w:lang w:val="en-US"/>
        </w:rPr>
        <w:t>SMU</w:t>
      </w:r>
      <w:r>
        <w:rPr/>
        <w:t xml:space="preserve"> на электронные депозитарные номера Партнеров </w:t>
      </w:r>
      <w:r>
        <w:rPr>
          <w:b/>
        </w:rPr>
        <w:t>Системы</w:t>
      </w:r>
      <w:r>
        <w:rPr/>
        <w:t xml:space="preserve"> производится только по Вашему указанию и расценивается как Ваше согласие на приобретение товаров и услуг предоставляемых Партнерами </w:t>
      </w:r>
      <w:r>
        <w:rPr>
          <w:b/>
        </w:rPr>
        <w:t>Системы</w:t>
      </w:r>
      <w:r>
        <w:rPr/>
        <w:t xml:space="preserve"> с использованием ее универсального комплекса сервисных услуг. Указание о переводе </w:t>
      </w:r>
      <w:r>
        <w:rPr>
          <w:b/>
          <w:lang w:val="en-US"/>
        </w:rPr>
        <w:t>SMU</w:t>
      </w:r>
      <w:r>
        <w:rPr/>
        <w:t xml:space="preserve"> зачисленных на </w:t>
      </w:r>
      <w:r>
        <w:rPr>
          <w:b/>
        </w:rPr>
        <w:t>ЕDN</w:t>
      </w:r>
      <w:r>
        <w:rPr/>
        <w:t xml:space="preserve"> Клиента так же как и любые иные указания связанные с переводом, зачислением, снятием </w:t>
      </w:r>
      <w:r>
        <w:rPr>
          <w:b/>
          <w:lang w:val="en-US"/>
        </w:rPr>
        <w:t>SMU</w:t>
      </w:r>
      <w:r>
        <w:rPr/>
        <w:t xml:space="preserve"> отдается Клиентом только самостоятельно. Данные указания являются для </w:t>
      </w:r>
      <w:r>
        <w:rPr>
          <w:b/>
        </w:rPr>
        <w:t>Системы</w:t>
      </w:r>
      <w:r>
        <w:rPr/>
        <w:t xml:space="preserve"> безусловными, безотзывными и имеют императивную силу, что влечет за собой обязательность ее исполнения, как самой </w:t>
      </w:r>
      <w:r>
        <w:rPr>
          <w:b/>
        </w:rPr>
        <w:t>Системой</w:t>
      </w:r>
      <w:r>
        <w:rPr/>
        <w:t xml:space="preserve">, так и третьими лицами, состоящими в соответствующих договорных отношениях с </w:t>
      </w:r>
      <w:r>
        <w:rPr>
          <w:b/>
        </w:rPr>
        <w:t>Business Paper Production LTD</w:t>
      </w:r>
      <w:r>
        <w:rPr/>
        <w:t xml:space="preserve">, созданной в соответствии с законами Британских Виргинских островов. </w:t>
      </w:r>
    </w:p>
    <w:p>
      <w:pPr>
        <w:pStyle w:val="Normal"/>
        <w:ind w:left="0" w:right="0" w:firstLine="708"/>
        <w:jc w:val="both"/>
        <w:rPr/>
      </w:pPr>
      <w:r>
        <w:rPr/>
        <w:t xml:space="preserve">Услуги по зачисленным на </w:t>
      </w:r>
      <w:r>
        <w:rPr>
          <w:b/>
        </w:rPr>
        <w:t>ЕDN</w:t>
      </w:r>
      <w:r>
        <w:rPr/>
        <w:t xml:space="preserve"> </w:t>
      </w:r>
      <w:r>
        <w:rPr>
          <w:b/>
          <w:lang w:val="en-US"/>
        </w:rPr>
        <w:t>SMU</w:t>
      </w:r>
      <w:r>
        <w:rPr/>
        <w:t xml:space="preserve"> предоставляются Партнерами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 xml:space="preserve">» </w:t>
      </w:r>
      <w:r>
        <w:rPr/>
        <w:t xml:space="preserve"> по установленными ими тарифами, от своего имени и за свой счет. Вывод (снятие) эквивалента денежных средств с </w:t>
      </w:r>
      <w:r>
        <w:rPr>
          <w:b/>
        </w:rPr>
        <w:t>ЕDN</w:t>
      </w:r>
      <w:r>
        <w:rPr/>
        <w:t xml:space="preserve"> осуществляется </w:t>
      </w:r>
      <w:r>
        <w:rPr>
          <w:b/>
        </w:rPr>
        <w:t>Системой</w:t>
      </w:r>
      <w:r>
        <w:rPr/>
        <w:t xml:space="preserve"> при расторжении отношений между Клиентом и </w:t>
      </w:r>
      <w:r>
        <w:rPr>
          <w:b/>
        </w:rPr>
        <w:t>Системой</w:t>
      </w:r>
      <w:r>
        <w:rPr/>
        <w:t xml:space="preserve">, возникших после акцептирования данной оферты, путем трансферта номинального значения </w:t>
      </w:r>
      <w:r>
        <w:rPr>
          <w:b/>
          <w:lang w:val="en-US"/>
        </w:rPr>
        <w:t>SMU</w:t>
      </w:r>
      <w:r>
        <w:rPr/>
        <w:t xml:space="preserve"> находящихся на Вашем </w:t>
      </w:r>
      <w:r>
        <w:rPr>
          <w:b/>
        </w:rPr>
        <w:t>ЕDN</w:t>
      </w:r>
      <w:r>
        <w:rPr/>
        <w:t xml:space="preserve"> в виде денежных средств в разовой сумме эквивалентной не более чем 15000 рублей. В случае расторжения отношений и необходимости возврата Вам при ликвидации Вашего </w:t>
      </w:r>
      <w:r>
        <w:rPr>
          <w:b/>
        </w:rPr>
        <w:t>ЕDN</w:t>
      </w:r>
      <w:r>
        <w:rPr/>
        <w:t xml:space="preserve"> суммы свыше указанного размера данное указание удовлетворяется только по факту получения Ваших данных (в том числе: ФИО, дата и место рождения, гражданство, адрес постоянной регистрации). В вышеуказанном случае Клиент </w:t>
      </w:r>
      <w:r>
        <w:rPr>
          <w:b/>
        </w:rPr>
        <w:t>Системы</w:t>
      </w:r>
      <w:r>
        <w:rPr/>
        <w:t xml:space="preserve"> обязан подать письменное заявление на расторжение соглашения и возврату денежных средств в адрес уполномоченных </w:t>
      </w:r>
      <w:r>
        <w:rPr>
          <w:b/>
        </w:rPr>
        <w:t>Системой</w:t>
      </w:r>
      <w:r>
        <w:rPr/>
        <w:t xml:space="preserve"> лиц с указанием суммы выплаты, паспортных данных, ИНН, </w:t>
      </w:r>
      <w:r>
        <w:rPr>
          <w:b/>
          <w:lang w:val="en-US"/>
        </w:rPr>
        <w:t>EDN</w:t>
      </w:r>
      <w:r>
        <w:rPr/>
        <w:t xml:space="preserve"> Клиента в </w:t>
      </w:r>
      <w:r>
        <w:rPr>
          <w:b/>
        </w:rPr>
        <w:t>Системе</w:t>
      </w:r>
      <w:r>
        <w:rPr/>
        <w:t xml:space="preserve">. Срок рассмотрения данного заявления не может составлять более 30 календарных суток. В любом случае требование Клиента о расторжении соглашения направленное в </w:t>
      </w:r>
      <w:r>
        <w:rPr>
          <w:b/>
        </w:rPr>
        <w:t>Систему расчетов 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по правилам электронного оборота установленного Системой принимаются сторонами в порядке «как есть». При этом порядок расторжения настоящего соглашения со стороны Системы выполняется по правилам страны ее юридической регистрации. Ответственность по соблюдению иного порядка расторжения договоров, в случае урегулированности данного вопроса законодательством страны Клиента, несет сам Клиент. Операции по введению денежных средств в кассу или терминал уполномоченных лиц с их последующим трансфертом в </w:t>
      </w:r>
      <w:r>
        <w:rPr>
          <w:b/>
          <w:lang w:val="en-US"/>
        </w:rPr>
        <w:t>SMU</w:t>
      </w:r>
      <w:r>
        <w:rPr/>
        <w:t xml:space="preserve"> на депозит в </w:t>
      </w:r>
      <w:r>
        <w:rPr>
          <w:b/>
        </w:rPr>
        <w:t>ЕDN</w:t>
      </w:r>
      <w:r>
        <w:rPr/>
        <w:t xml:space="preserve">, так же как и их вывод в обратном порядке, в соответствии с настоящими правилами не наделяют Клиентов и/или иных третьих лиц правом осуществлять сделки по приобретению права требования от Клиентов и/или третьих лиц по исполнению обязательств Партнеров в денежной форме и не являются основанием по приобретению денежного требования ввиду осуществления операций по переводу </w:t>
      </w:r>
      <w:r>
        <w:rPr>
          <w:b/>
          <w:lang w:val="en-US"/>
        </w:rPr>
        <w:t>SMU</w:t>
      </w:r>
      <w:r>
        <w:rPr/>
        <w:t xml:space="preserve"> на </w:t>
      </w:r>
      <w:r>
        <w:rPr>
          <w:b/>
        </w:rPr>
        <w:t>ЕDN</w:t>
      </w:r>
      <w:r>
        <w:rPr/>
        <w:t xml:space="preserve"> Партнеров в бездокументарном, не денежном порядке, с использованием титульных  знаков </w:t>
      </w:r>
      <w:r>
        <w:rPr>
          <w:b/>
        </w:rPr>
        <w:t>Системы</w:t>
      </w:r>
      <w:r>
        <w:rPr/>
        <w:t>.  Титульные знаки регистрируются только в форме электронной учетной записи в Системе и не имеют хождения вне пределов действия ее аппаратного комплекса, ввиду того чего принадлежат Обладателю Системы. Распорядительные права на них принадлежат Клиенту.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 xml:space="preserve">Помимо этого Клиент принимает условия ранее заключенных соглашений между Партнерами и </w:t>
      </w:r>
      <w:r>
        <w:rPr>
          <w:b/>
        </w:rPr>
        <w:t>Системой</w:t>
      </w:r>
      <w:r>
        <w:rPr/>
        <w:t xml:space="preserve"> 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, в части касающейся проведения взаимных расчетов Партнеров с </w:t>
      </w:r>
      <w:r>
        <w:rPr>
          <w:b/>
        </w:rPr>
        <w:t>Системой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. </w:t>
      </w:r>
    </w:p>
    <w:p>
      <w:pPr>
        <w:pStyle w:val="TextBodyIndent"/>
        <w:ind w:left="-11" w:right="0" w:firstLine="719"/>
        <w:rPr/>
      </w:pPr>
      <w:r>
        <w:rPr/>
      </w:r>
    </w:p>
    <w:p>
      <w:pPr>
        <w:pStyle w:val="TextBodyIndent"/>
        <w:ind w:left="-11" w:right="0" w:firstLine="719"/>
        <w:rPr>
          <w:b/>
        </w:rPr>
      </w:pPr>
      <w:r>
        <w:rPr/>
        <w:t xml:space="preserve">Настоящим Вы подтверждаете факт Вашего согласия как конечного пользователя  с условиями действия настоящих соглашений в отношении формы, способа и порядка оплаты выбранных Вами услуг и товаров, сервисами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, подтверждаете Ваше согласие на обмен предоставленных Вами </w:t>
      </w:r>
      <w:r>
        <w:rPr>
          <w:b/>
        </w:rPr>
        <w:t>Системе</w:t>
      </w:r>
      <w:r>
        <w:rPr/>
        <w:t xml:space="preserve"> данных для ведения информационного обмена и учета банков данных между </w:t>
      </w:r>
      <w:r>
        <w:rPr>
          <w:b/>
        </w:rPr>
        <w:t>Системой</w:t>
      </w:r>
      <w:r>
        <w:rPr/>
        <w:t xml:space="preserve"> и ее Партнерами, а так же выражаете Ваше согласие с тем, что все документы, учетные записи идентификационные мероприятия являются для сторон настоящего соглашения действительными, достоверными и равнозначными по юридической силе документам, оформленным в традиционном порядке, а действия, совершенные в системе, как действия надлежащих сторон, в двусторонне принятом специальном порядке по правилам электронно-цифровой подписи. Местом заключения настоящей оферты является местонахождение </w:t>
      </w:r>
      <w:r>
        <w:rPr>
          <w:b/>
        </w:rPr>
        <w:t>Business Paper Production LTD</w:t>
      </w:r>
      <w:r>
        <w:rPr/>
        <w:t>, созданной в соответствии с законами Британских Виргинских островов</w:t>
      </w:r>
      <w:r>
        <w:rPr>
          <w:b/>
        </w:rPr>
        <w:t>.</w:t>
      </w:r>
    </w:p>
    <w:p>
      <w:pPr>
        <w:pStyle w:val="Normal"/>
        <w:autoSpaceDE w:val="false"/>
        <w:ind w:left="0" w:right="0" w:firstLine="540"/>
        <w:jc w:val="both"/>
        <w:rPr/>
      </w:pPr>
      <w:r>
        <w:rPr/>
        <w:t xml:space="preserve">Активация электронного приложения так же в достаточной степени свидетельствует для всех заинтересованных сторон о том, что Вы, как пользователь услуг и товаров предоставляемых Партнером </w:t>
      </w:r>
      <w:r>
        <w:rPr>
          <w:b/>
        </w:rPr>
        <w:t>Системы</w:t>
      </w:r>
      <w:r>
        <w:rPr/>
        <w:t xml:space="preserve"> </w:t>
      </w:r>
      <w:r>
        <w:rPr>
          <w:b/>
        </w:rPr>
        <w:t>«</w:t>
      </w:r>
      <w:r>
        <w:rPr>
          <w:rStyle w:val="Emphasis"/>
          <w:b/>
          <w:bCs/>
          <w:i w:val="false"/>
          <w:lang w:val="en-US"/>
        </w:rPr>
        <w:t>SmartMoney</w:t>
      </w:r>
      <w:r>
        <w:rPr>
          <w:b/>
        </w:rPr>
        <w:t>»</w:t>
      </w:r>
      <w:r>
        <w:rPr/>
        <w:t xml:space="preserve"> уведомлены и ознакомлены с установленными настоящим соглашением порядке, правилами, ограничениями, пределами действий настоящих ограничений, порядке действия условий настоящего соглашения и порядке действия сторон при исполнении взятых обязательств друг перед другом. Активация электронного приложения  выражает Ваше прямое, полное, безоговорочное и безусловное согласие с вышеизложенными условиями и Ваше акцептирование предлагаемой оферты путем согласия с ними. </w:t>
      </w:r>
    </w:p>
    <w:p>
      <w:pPr>
        <w:pStyle w:val="Normal"/>
        <w:autoSpaceDE w:val="false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Согласны ли Вы с условиями настоящего соглашения?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>
      <w:b w:val="false"/>
    </w:rPr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character" w:styleId="Style15">
    <w:name w:val="Основной текст с отступом Знак"/>
    <w:basedOn w:val="Style14"/>
    <w:rPr>
      <w:sz w:val="24"/>
      <w:szCs w:val="24"/>
      <w:lang w:val="ru-RU" w:bidi="ar-SA"/>
    </w:rPr>
  </w:style>
  <w:style w:type="character" w:styleId="1">
    <w:name w:val=" Знак Знак1"/>
    <w:basedOn w:val="Style14"/>
    <w:rPr>
      <w:sz w:val="24"/>
      <w:szCs w:val="24"/>
    </w:rPr>
  </w:style>
  <w:style w:type="character" w:styleId="Emphasis">
    <w:name w:val="Emphasis"/>
    <w:basedOn w:val="Style14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basedOn w:val="Normal"/>
    <w:pPr>
      <w:ind w:left="540" w:right="0" w:hanging="0"/>
      <w:jc w:val="both"/>
    </w:pPr>
    <w:rPr/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2015-05-28T18:16:33Z</dcterms:created>
  <dc:language>ru-RU</dc:language>
  <cp:lastModifiedBy>Пользователь</cp:lastModifiedBy>
  <cp:lastPrinted>2011-01-18T10:42:00Z</cp:lastPrinted>
  <dcterms:modified xsi:type="dcterms:W3CDTF">2011-11-04T17:21:00Z</dcterms:modified>
  <cp:revision>2</cp:revision>
  <dc:title>Правила пользования системой электронной связи говорят как это сделать и кто за что отвечает</dc:title>
</cp:coreProperties>
</file>